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228C" w14:textId="77777777" w:rsidR="00DF5344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[TREŚĆ INFORMACJI]</w:t>
      </w:r>
    </w:p>
    <w:p w14:paraId="6F14FD8B" w14:textId="77777777" w:rsidR="00DF5344" w:rsidRDefault="00DF5344">
      <w:pPr>
        <w:spacing w:after="0" w:line="240" w:lineRule="auto"/>
        <w:rPr>
          <w:sz w:val="24"/>
          <w:szCs w:val="24"/>
        </w:rPr>
      </w:pPr>
      <w:bookmarkStart w:id="0" w:name="_heading=h.gjdgxs" w:colFirst="0" w:colLast="0"/>
      <w:bookmarkEnd w:id="0"/>
    </w:p>
    <w:p w14:paraId="134FAF8A" w14:textId="77777777" w:rsidR="00DF5344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r>
        <w:rPr>
          <w:b/>
          <w:sz w:val="24"/>
          <w:szCs w:val="24"/>
        </w:rPr>
        <w:t>Obywatelski monitoring funduszy europejskich - nie przegap!</w:t>
      </w:r>
    </w:p>
    <w:p w14:paraId="730E064A" w14:textId="77777777" w:rsidR="00DF5344" w:rsidRDefault="00000000">
      <w:pPr>
        <w:spacing w:after="0" w:line="240" w:lineRule="auto"/>
        <w:ind w:firstLine="141"/>
        <w:jc w:val="both"/>
        <w:rPr>
          <w:b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>Do Polski już wkrótce powinno trafić ponad 76 mld. euro z budżetu Unii Europejskiej na lata 2021-2027. Ogólnopolska Federacja Organizacji Pozarządowych (OFOP) apeluje do organizacji w całym kraju o mobilizację oraz do włączenia się w pracę komitetów monitorujących programy finansowane z funduszy europejskich.</w:t>
      </w:r>
    </w:p>
    <w:p w14:paraId="7C1437D2" w14:textId="77777777" w:rsidR="00DF5344" w:rsidRDefault="00DF5344">
      <w:pPr>
        <w:spacing w:after="0" w:line="240" w:lineRule="auto"/>
        <w:jc w:val="both"/>
        <w:rPr>
          <w:b/>
          <w:sz w:val="24"/>
          <w:szCs w:val="24"/>
          <w:highlight w:val="yellow"/>
        </w:rPr>
      </w:pPr>
    </w:p>
    <w:p w14:paraId="2EAE65B5" w14:textId="60315609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Umową Partnerstwa określającą strategię wykorzystania funduszy europejskich </w:t>
      </w:r>
      <w:r w:rsidR="00A43C1E">
        <w:rPr>
          <w:sz w:val="24"/>
          <w:szCs w:val="24"/>
        </w:rPr>
        <w:br/>
      </w:r>
      <w:r>
        <w:rPr>
          <w:sz w:val="24"/>
          <w:szCs w:val="24"/>
        </w:rPr>
        <w:t xml:space="preserve">w Polsce na lata 2021-2027 będziemy mieć do dyspozycji w tej perspektywie unijnej około 76 miliardów euro. To standardowy 7-letni budżet unijny, z którego Polska skorzysta już kolejny raz, inny aniżeli fundusze zaplanowane na Krajowy Plan Odbudowy. Projekt Umowy Partnerstwa został przedłożony do publicznych konsultacji w połowie stycznia 2021 r. -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wyniku licznych uwag, przeprowadzonych konsultacji i zrealizowanych </w:t>
      </w:r>
      <w:proofErr w:type="spellStart"/>
      <w:r>
        <w:rPr>
          <w:sz w:val="24"/>
          <w:szCs w:val="24"/>
        </w:rPr>
        <w:t>wysłuchań</w:t>
      </w:r>
      <w:proofErr w:type="spellEnd"/>
      <w:r>
        <w:rPr>
          <w:sz w:val="24"/>
          <w:szCs w:val="24"/>
        </w:rPr>
        <w:t xml:space="preserve"> publicznych ostatecznie dokument został zatwierdzony przez rząd RP oraz Komisję Europejską oraz opublikowany w lipcu 2022 r. </w:t>
      </w:r>
    </w:p>
    <w:p w14:paraId="4101B230" w14:textId="77777777" w:rsidR="008B34EA" w:rsidRDefault="008B34EA">
      <w:pPr>
        <w:spacing w:after="0" w:line="240" w:lineRule="auto"/>
        <w:jc w:val="both"/>
        <w:rPr>
          <w:sz w:val="24"/>
          <w:szCs w:val="24"/>
        </w:rPr>
      </w:pPr>
    </w:p>
    <w:p w14:paraId="73809250" w14:textId="69310428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Fundusze europejskie będą wdrażane w ramach specjalnie opracowanych programów, w tym międzynarodowych i transgranicznych, a w Polsce dodatkowo zgodnie z Umową Partnerstwa w ramach 16 regionalnych programów obsługiwanych przez urzędy marszałkowskie oraz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>8 tematycznych programów krajowych obsługiwanych przez stronę rządową:</w:t>
      </w:r>
    </w:p>
    <w:p w14:paraId="267A04CB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na Infrastrukturę, Klimat, Środowisko 2021-2027 (</w:t>
      </w:r>
      <w:proofErr w:type="spellStart"/>
      <w:r>
        <w:rPr>
          <w:sz w:val="24"/>
          <w:szCs w:val="24"/>
        </w:rPr>
        <w:t>FEnIKS</w:t>
      </w:r>
      <w:proofErr w:type="spellEnd"/>
      <w:r>
        <w:rPr>
          <w:sz w:val="24"/>
          <w:szCs w:val="24"/>
        </w:rPr>
        <w:t>) – budżet ok. 135 mld zł</w:t>
      </w:r>
    </w:p>
    <w:p w14:paraId="3216B1CB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dla Rozwoju Społecznego 2021-2027 (FERS) – budżet ok. 21,9 mld zł</w:t>
      </w:r>
    </w:p>
    <w:p w14:paraId="2BAF8E9E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dla Nowoczesnej Gospodarki 2021-2027 (FENG) – budżet ok. 45,9 mld zł</w:t>
      </w:r>
    </w:p>
    <w:p w14:paraId="08FEFD06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na Rozwój Cyfrowy 2021-2027 (FERC) – budżet ok. 11,4 mld zł</w:t>
      </w:r>
    </w:p>
    <w:p w14:paraId="393D7671" w14:textId="18796C11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 Fundusze Europejskie dla Polski Wschodniej 2021-2027 – budżet ok. 14,3 mld zł (obszar: lubelskie, podkarpackie, podlaskie, świętokrzyskie, warmińsko-mazurskie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>i częściowo mazowieckie)</w:t>
      </w:r>
    </w:p>
    <w:p w14:paraId="05F5ADC9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dla Rybactwa 2021-2027 – budżet ok. 3,5 mld zł</w:t>
      </w:r>
    </w:p>
    <w:p w14:paraId="3D18BE9A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Fundusze Europejskie Pomoc Żywnościowa 2021-2027 (FEPŻ) – budżet ok. 2,7 mld zł</w:t>
      </w:r>
    </w:p>
    <w:p w14:paraId="7954F7D4" w14:textId="77777777" w:rsidR="00DF5344" w:rsidRDefault="0000000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 Pomoc Techniczna dla Funduszy Europejskich 2021-2027 (PTFE) – budżet ok. 2,5 mld zł</w:t>
      </w:r>
    </w:p>
    <w:p w14:paraId="4BB470B5" w14:textId="77777777" w:rsidR="00DF5344" w:rsidRDefault="00DF5344">
      <w:pPr>
        <w:spacing w:after="0" w:line="240" w:lineRule="auto"/>
        <w:jc w:val="both"/>
        <w:rPr>
          <w:b/>
          <w:sz w:val="24"/>
          <w:szCs w:val="24"/>
        </w:rPr>
      </w:pPr>
    </w:p>
    <w:p w14:paraId="6454B0C9" w14:textId="77777777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Realizacja przedsięwzięć (projektów), zarówno w trybie konkurencyjnym (konkursowym), jak i w tzw. niekonkurencyjnym, będzie możliwa dopiero po zatwierdzeniu tych przez Komisję Europejską oraz </w:t>
      </w:r>
      <w:r>
        <w:rPr>
          <w:sz w:val="24"/>
          <w:szCs w:val="24"/>
          <w:u w:val="single"/>
        </w:rPr>
        <w:t>powołaniu komitetów monitorujących</w:t>
      </w:r>
      <w:r>
        <w:rPr>
          <w:sz w:val="24"/>
          <w:szCs w:val="24"/>
        </w:rPr>
        <w:t xml:space="preserve"> dla każdego programu. Komitety te oprócz zatwierdzenia kryteriów i metodyki wyboru projektów będą weryfikować spełnienie </w:t>
      </w:r>
      <w:r>
        <w:rPr>
          <w:sz w:val="24"/>
          <w:szCs w:val="24"/>
        </w:rPr>
        <w:lastRenderedPageBreak/>
        <w:t xml:space="preserve">warunków oraz tzw. zasad horyzontalnych. W skład każdego komitetu monitorującego wchodzić będą: </w:t>
      </w:r>
    </w:p>
    <w:p w14:paraId="200EF17A" w14:textId="77777777" w:rsidR="00DF5344" w:rsidRDefault="0000000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przedstawiciele władz krajowych i regionalnych, administracji, organizacji zrzeszających samorządy, sektora nauki,</w:t>
      </w:r>
    </w:p>
    <w:p w14:paraId="7852A2B8" w14:textId="77777777" w:rsidR="00DF5344" w:rsidRDefault="0000000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partnerzy społeczni (związki zawodowe i organizacje pracodawców), biznesu oraz przedsiębiorczości społecznej</w:t>
      </w:r>
    </w:p>
    <w:p w14:paraId="15395F0A" w14:textId="0533937C" w:rsidR="00DF5344" w:rsidRDefault="0000000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min. 9 podmiotów społeczeństwa obywatelskiego, tj. organizacji pozarządowych,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>a także ich federacji, związków.</w:t>
      </w:r>
    </w:p>
    <w:p w14:paraId="54FFAF37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6FF1ADBD" w14:textId="26AD9E37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Komitety monitorujące programy będą odgrywać dużo większą rolę aniżeli w poprzednich perspektywach UE z kilku powodów. Otóż, kluczowe będzie zderzenie się z ambitnymi celami klimatycznymi wynikającymi z Europejskiego Zielonego Ładu wskazującym celem jest </w:t>
      </w:r>
      <w:r>
        <w:rPr>
          <w:i/>
          <w:sz w:val="24"/>
          <w:szCs w:val="24"/>
        </w:rPr>
        <w:t>Unia Europejska jako obszar neutralny klimatycznie, społeczeństwo sprawiedliwe i dostatnie, gospodarka nowoczesna i ekologiczna</w:t>
      </w:r>
      <w:r>
        <w:rPr>
          <w:sz w:val="24"/>
          <w:szCs w:val="24"/>
        </w:rPr>
        <w:t xml:space="preserve">, aby to osiągnąć opracowano cały pakiet regulacji, elementów oraz zasad, w tym DNSH (ang. Do No </w:t>
      </w:r>
      <w:proofErr w:type="spellStart"/>
      <w:r>
        <w:rPr>
          <w:sz w:val="24"/>
          <w:szCs w:val="24"/>
        </w:rPr>
        <w:t>Significant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Harm</w:t>
      </w:r>
      <w:proofErr w:type="spellEnd"/>
      <w:r>
        <w:rPr>
          <w:sz w:val="24"/>
          <w:szCs w:val="24"/>
        </w:rPr>
        <w:t xml:space="preserve">) –„nie wyrządzaj poważnej szkody”. Ponadto zgodnie z art. 15 rozporządzenia ogólnego z czerwca 2021 r. ustanawiającego warunki horyzontalne korzystania z funduszy europejskich wskazano m.in. skuteczne stosowanie i wdrażanie Karty Praw Podstawowych UE, oprócz już wcześniej obowiązujących zasad horyzontalnych, tj. równości kobiet i mężczyzn, dostępności dla osób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z niepełnosprawnością, niedyskryminacji oraz zrównoważonego rozwoju. </w:t>
      </w:r>
    </w:p>
    <w:p w14:paraId="25A326EB" w14:textId="77777777" w:rsidR="00DF5344" w:rsidRDefault="00DF5344">
      <w:pPr>
        <w:spacing w:after="0" w:line="240" w:lineRule="auto"/>
        <w:jc w:val="both"/>
        <w:rPr>
          <w:i/>
          <w:sz w:val="24"/>
          <w:szCs w:val="24"/>
        </w:rPr>
      </w:pPr>
    </w:p>
    <w:p w14:paraId="7F18D790" w14:textId="6D9B7739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“To czy wspomniane warunki i zasady będą monitorowane zależy w znacznym stopniu od potencjału, roli i zaangażowania zorganizowanego społeczeństwa obywatelskiego. </w:t>
      </w:r>
      <w:r w:rsidR="007A47B2">
        <w:rPr>
          <w:i/>
          <w:sz w:val="24"/>
          <w:szCs w:val="24"/>
        </w:rPr>
        <w:br/>
      </w:r>
      <w:r>
        <w:rPr>
          <w:i/>
          <w:sz w:val="24"/>
          <w:szCs w:val="24"/>
        </w:rPr>
        <w:t>W komitetach monitorujących muszą być obowiązkowo miejsca dla organizacji pozarządowych zajmujących się monitorowaniem każdej ze wspomnianych zasad horyzontalnych i dba</w:t>
      </w:r>
      <w:r w:rsidR="007A47B2">
        <w:rPr>
          <w:i/>
          <w:sz w:val="24"/>
          <w:szCs w:val="24"/>
        </w:rPr>
        <w:t>jących</w:t>
      </w:r>
      <w:r>
        <w:rPr>
          <w:i/>
          <w:sz w:val="24"/>
          <w:szCs w:val="24"/>
        </w:rPr>
        <w:t xml:space="preserve"> o nasze prawa” </w:t>
      </w:r>
      <w:r>
        <w:rPr>
          <w:sz w:val="24"/>
          <w:szCs w:val="24"/>
        </w:rPr>
        <w:t>- mówi Iwona Janicka, ekspertka Ogólnopolskiej Federacji Organizacji Pozarządowych.</w:t>
      </w:r>
    </w:p>
    <w:p w14:paraId="7712B97A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24627B6D" w14:textId="0039BE59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Dodatkowo w komitetach monitorujących potrzebni będą przedstawiciele/-ki z organizacji, które zajmują się działalnością tematycznie związaną z danymi programami, m.in.: edukacja, włączenie społeczne, rynek pracy, zdrowie, cyfryzacja, gospodarka, sprawiedliwa transformacja, infrastruktura i transport, obszary wiejskie, miejskie obszary funkcjonalne, rewitalizacja, kultura i dziedzictwo kulturowe, rybactwo, zdrowa żywność, pomoc żywnościowa dla najuboższych, wzmocnienie potencjału organizacji pozarządowych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zakresie kształtowania i realizacji polityk publicznych. </w:t>
      </w:r>
    </w:p>
    <w:p w14:paraId="7125D30B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531E5404" w14:textId="4247FA87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Wyłonienie organizacji pozarządowych do komitetów monitorujących zgodnie z regulacjami musi się odbyć w transparentnej procedurze niezależnie od władz krajowych i regionalnych oraz ich organów doradczych. Z uwagi na sukcesywne zatwierdzanie programów przez Komisję Europejską wyłonienie </w:t>
      </w:r>
      <w:proofErr w:type="spellStart"/>
      <w:r>
        <w:rPr>
          <w:sz w:val="24"/>
          <w:szCs w:val="24"/>
        </w:rPr>
        <w:t>NGOs</w:t>
      </w:r>
      <w:proofErr w:type="spellEnd"/>
      <w:r>
        <w:rPr>
          <w:sz w:val="24"/>
          <w:szCs w:val="24"/>
        </w:rPr>
        <w:t xml:space="preserve"> odbywać się będzie w najbliższych tygodniach zarówno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przypadku programów krajowych, jak i regionalnych. W przypadku programów krajowych władną do opracowania procedury i powołania komisji wyborczej jest rada działalności pożytku publicznego w ramach Kancelarii Prezesa Rady Ministrów. Natomiast w przypadku programów regionalnych stosowny proces wyborczy i powołanie komisji wyborczej musi </w:t>
      </w:r>
      <w:r>
        <w:rPr>
          <w:sz w:val="24"/>
          <w:szCs w:val="24"/>
        </w:rPr>
        <w:lastRenderedPageBreak/>
        <w:t>zostać zrealizowany przez odpowiednie wojewódzkie rady działalności pożytku publicznego (odpowiednio organ doradczy marszałka województwa).</w:t>
      </w:r>
    </w:p>
    <w:p w14:paraId="4D8A0394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42B834B5" w14:textId="77777777" w:rsidR="00DF534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 jest pewne będzie bardzo mało czasu - zaledwie kilka dni na zgłoszenia i głosowanie wśród organizacji pozarządowych, a to wymagać będzie ogromnej mobilizacji i wzmocnienia wielu osób, które do tej pory może nie zajmowały się bezpośrednio inwestycjami i działaniami finansowanymi z funduszy europejskich, ale np. interesowały się zasadami państwa prawa (wolność słowa, prawo zrzeszania się, praworządność), prawem do informacji, prawami kobiet, niedyskryminacją osób </w:t>
      </w:r>
      <w:proofErr w:type="spellStart"/>
      <w:r>
        <w:rPr>
          <w:sz w:val="24"/>
          <w:szCs w:val="24"/>
        </w:rPr>
        <w:t>LGBTQiA</w:t>
      </w:r>
      <w:proofErr w:type="spellEnd"/>
      <w:r>
        <w:rPr>
          <w:sz w:val="24"/>
          <w:szCs w:val="24"/>
        </w:rPr>
        <w:t xml:space="preserve">, prawami osób z państw trzecich, dostępnością dla osób z niepełnosprawnością oraz ochroną środowiska, troską o klimat, sprawiedliwą transformacją. Aktywność w komitecie monitorującym będzie idealna na pewno dla osób, które czuwają nad transparentnością, dbają o dostęp do dokumentów, monitorują zamówienia publiczne. </w:t>
      </w:r>
    </w:p>
    <w:p w14:paraId="2FCAEBD5" w14:textId="77777777" w:rsidR="00DF534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 zaangażowania w komitecie monitorującym może dotyczyć roli członka/członkini komitetu monitorującego (lub zastępcy), a także funkcji obserwatora. Warto wiedzieć, że zaangażowanie w prace komitetu i w powołanych w jego ramach grupach roboczych to funkcja obywatelska (społeczna) związane jest z udziałem w posiedzeniach, ale też analizą dokumentów pod kątem obszaru/zagadnienia, w szczególności dot. zasad i warunków oraz kryteriów wyboru projektów, a także kontakt ze środowiskiem </w:t>
      </w:r>
      <w:proofErr w:type="spellStart"/>
      <w:r>
        <w:rPr>
          <w:sz w:val="24"/>
          <w:szCs w:val="24"/>
        </w:rPr>
        <w:t>NGOs</w:t>
      </w:r>
      <w:proofErr w:type="spellEnd"/>
      <w:r>
        <w:rPr>
          <w:sz w:val="24"/>
          <w:szCs w:val="24"/>
        </w:rPr>
        <w:t xml:space="preserve">, udostępnianie materiałów, formułowanie opinii, rekomendacji, postulatów w imieniu środowiska </w:t>
      </w:r>
      <w:proofErr w:type="spellStart"/>
      <w:r>
        <w:rPr>
          <w:sz w:val="24"/>
          <w:szCs w:val="24"/>
        </w:rPr>
        <w:t>NGOs</w:t>
      </w:r>
      <w:proofErr w:type="spellEnd"/>
      <w:r>
        <w:rPr>
          <w:sz w:val="24"/>
          <w:szCs w:val="24"/>
        </w:rPr>
        <w:t>.</w:t>
      </w:r>
    </w:p>
    <w:p w14:paraId="16C60952" w14:textId="5E62EE99" w:rsidR="00DF534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Nabór do komitetów dotyczy perspektywy budżetu UE na lata 2021-2027 (+2lata). Członkowie komitetu monitorującego (i zastępcy) mogą liczyć na wsparcie z budżetu danego programu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>w ramach tzw. pomocy technicznej. Wsparcie uzależnione będzie także od ewentualnej dotacji pozyskanej przez organizacje społeczeństwa obywatelskiego na wsparcie przedstawicieli/-</w:t>
      </w:r>
      <w:proofErr w:type="spellStart"/>
      <w:r>
        <w:rPr>
          <w:sz w:val="24"/>
          <w:szCs w:val="24"/>
        </w:rPr>
        <w:t>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NGOs</w:t>
      </w:r>
      <w:proofErr w:type="spellEnd"/>
      <w:r>
        <w:rPr>
          <w:sz w:val="24"/>
          <w:szCs w:val="24"/>
        </w:rPr>
        <w:t xml:space="preserve"> w procesie monitorowania funduszy europejskich. Na chwilę obecną na pewno można liczyć na dostęp do informacji, udział w szkoleniach i konferencjach oraz spotkaniach oraz zwrot kosztów przejazdu na posiedzenia komitetu.</w:t>
      </w:r>
    </w:p>
    <w:p w14:paraId="46605872" w14:textId="14685ED8" w:rsidR="00DF5344" w:rsidRDefault="00000000">
      <w:pPr>
        <w:jc w:val="both"/>
        <w:rPr>
          <w:sz w:val="24"/>
          <w:szCs w:val="24"/>
          <w:highlight w:val="cyan"/>
        </w:rPr>
      </w:pPr>
      <w:r>
        <w:rPr>
          <w:sz w:val="24"/>
          <w:szCs w:val="24"/>
        </w:rPr>
        <w:t xml:space="preserve">OFOP zachęca do wypełnienia formularza celem analizy możliwości i potencjału organizacji pozarządowych do prac w komitetach monitorujących i współpracy w tym zakresie. Organizacje mogą liczyć na możliwość wymiany doświadczeń, wsparcie specjalistów, udział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spotkaniach informacyjnych i przygotowawczych, m.in. 9 listopada i 14 grudnia. Zgłoszenia zainteresowanych osób, które chcą otrzymywać aktualne informacje i korzystać ze wsparcia OFOP przyjmowane są przez formularz – link: </w:t>
      </w:r>
      <w:hyperlink r:id="rId8">
        <w:r>
          <w:rPr>
            <w:color w:val="1155CC"/>
            <w:sz w:val="24"/>
            <w:szCs w:val="24"/>
            <w:u w:val="single"/>
          </w:rPr>
          <w:t>https://bit.ly/3PB1PkH</w:t>
        </w:r>
      </w:hyperlink>
      <w:r>
        <w:rPr>
          <w:sz w:val="24"/>
          <w:szCs w:val="24"/>
        </w:rPr>
        <w:t xml:space="preserve"> </w:t>
      </w:r>
    </w:p>
    <w:p w14:paraId="792DD617" w14:textId="030B303B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Zainteresowanych startem do komitetów monitorujących bez doświadczenia w tej kwestii Ogólnopolska Federacja Organizacji Pozarządowych zaprasza na spotkania wprowadzające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tematykę funduszy europejskich na lata 2021 2027 w następujących terminach. </w:t>
      </w:r>
    </w:p>
    <w:p w14:paraId="6E7B37E6" w14:textId="77777777" w:rsidR="00DF5344" w:rsidRDefault="0000000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listopada 2022 (wtorek) godz. 19:00 </w:t>
      </w:r>
    </w:p>
    <w:p w14:paraId="081C6307" w14:textId="77777777" w:rsidR="00DF5344" w:rsidRDefault="0000000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 listopada 2022 (środa) godz. 14:00</w:t>
      </w:r>
    </w:p>
    <w:p w14:paraId="440FA962" w14:textId="77777777" w:rsidR="00DF5344" w:rsidRDefault="0000000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23 listopada 2022 (środa) godz. 14:00</w:t>
      </w:r>
    </w:p>
    <w:p w14:paraId="27E1E407" w14:textId="77777777" w:rsidR="00DF5344" w:rsidRDefault="0000000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24 listopada 2022 (czwartek) godz. 19:00</w:t>
      </w:r>
    </w:p>
    <w:p w14:paraId="1FF5A8B4" w14:textId="77777777" w:rsidR="00DF5344" w:rsidRDefault="0000000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 grudnia 2022 (środa) godz. 14:00 </w:t>
      </w:r>
    </w:p>
    <w:p w14:paraId="2E55B1CC" w14:textId="77777777" w:rsidR="00DF5344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Będą to spotkania trwające ok. 1h. Podczas każdego z nich zostanie omówiona struktura programów finansowanych z funduszy europejskich na lata 2021-2027, zasada partnerstwa, zasady horyzontalne, czym właściwie są komitety monitorujące. Będzie okazja do zapoznania się z nazewnictwem. Spotkanie jest dedykowane osobom, które chcą się wdrożyć w tematykę i nie czują się pewnie nt. tego jakie zadania mogą mieć przedstawiciele/-ki </w:t>
      </w:r>
      <w:proofErr w:type="spellStart"/>
      <w:r>
        <w:rPr>
          <w:sz w:val="24"/>
          <w:szCs w:val="24"/>
        </w:rPr>
        <w:t>NGOs</w:t>
      </w:r>
      <w:proofErr w:type="spellEnd"/>
      <w:r>
        <w:rPr>
          <w:sz w:val="24"/>
          <w:szCs w:val="24"/>
        </w:rPr>
        <w:t xml:space="preserve"> w komitetach monitorujących.</w:t>
      </w:r>
    </w:p>
    <w:p w14:paraId="28929FA0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1C027FAA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26E85BA0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3B0FCBD0" w14:textId="77777777" w:rsidR="00DF5344" w:rsidRDefault="0000000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Zachęcamy do zapoznania się z nagraniami, które przybliżają aspekty zasad horyzontalnych:</w:t>
      </w:r>
    </w:p>
    <w:p w14:paraId="680AB75D" w14:textId="77777777" w:rsidR="00DF5344" w:rsidRDefault="00DF5344">
      <w:pPr>
        <w:spacing w:after="0" w:line="240" w:lineRule="auto"/>
        <w:jc w:val="both"/>
        <w:rPr>
          <w:b/>
          <w:sz w:val="24"/>
          <w:szCs w:val="24"/>
        </w:rPr>
      </w:pPr>
    </w:p>
    <w:p w14:paraId="7E294B97" w14:textId="5F45FDE8" w:rsidR="00DF5344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Relacja z konferencji pt. Praworządność i prawa podstawowe - wyzwania dla Polski </w:t>
      </w:r>
      <w:r w:rsidR="007A47B2">
        <w:rPr>
          <w:sz w:val="24"/>
          <w:szCs w:val="24"/>
        </w:rPr>
        <w:br/>
      </w:r>
      <w:r>
        <w:rPr>
          <w:sz w:val="24"/>
          <w:szCs w:val="24"/>
        </w:rPr>
        <w:t xml:space="preserve">w kontekście funduszy europejskich (Warszawa - 6 lipca 2022 r.) </w:t>
      </w:r>
      <w:r>
        <w:rPr>
          <w:sz w:val="24"/>
          <w:szCs w:val="24"/>
        </w:rPr>
        <w:br/>
        <w:t xml:space="preserve">Link do nagrania: </w:t>
      </w:r>
      <w:hyperlink r:id="rId9">
        <w:r>
          <w:rPr>
            <w:color w:val="1155CC"/>
            <w:sz w:val="24"/>
            <w:szCs w:val="24"/>
            <w:u w:val="single"/>
          </w:rPr>
          <w:t>https://youtu.be/1zSoxWifGws</w:t>
        </w:r>
      </w:hyperlink>
      <w:r>
        <w:rPr>
          <w:sz w:val="24"/>
          <w:szCs w:val="24"/>
        </w:rPr>
        <w:t xml:space="preserve">  </w:t>
      </w:r>
    </w:p>
    <w:p w14:paraId="1145D3C6" w14:textId="77777777" w:rsidR="00DF5344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RESPEKTOWANIE PRAW PODSTAWOWYCH. Link do nagrania: </w:t>
      </w:r>
      <w:hyperlink r:id="rId10">
        <w:r>
          <w:rPr>
            <w:color w:val="1155CC"/>
            <w:sz w:val="24"/>
            <w:szCs w:val="24"/>
            <w:u w:val="single"/>
          </w:rPr>
          <w:t>https://youtu.be/hilQO1F4PLw</w:t>
        </w:r>
      </w:hyperlink>
      <w:r>
        <w:rPr>
          <w:sz w:val="24"/>
          <w:szCs w:val="24"/>
        </w:rPr>
        <w:t xml:space="preserve"> </w:t>
      </w:r>
    </w:p>
    <w:p w14:paraId="3EDA0668" w14:textId="77777777" w:rsidR="00DF5344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ZASADA DOSTĘPNOŚCI. Link do nagrania: </w:t>
      </w:r>
      <w:hyperlink r:id="rId11">
        <w:r>
          <w:rPr>
            <w:color w:val="1155CC"/>
            <w:sz w:val="24"/>
            <w:szCs w:val="24"/>
            <w:u w:val="single"/>
          </w:rPr>
          <w:t>https://youtu.be/ACYmNZdXGEI</w:t>
        </w:r>
      </w:hyperlink>
      <w:r>
        <w:rPr>
          <w:sz w:val="24"/>
          <w:szCs w:val="24"/>
        </w:rPr>
        <w:t xml:space="preserve"> </w:t>
      </w:r>
    </w:p>
    <w:p w14:paraId="4D349574" w14:textId="77777777" w:rsidR="00DF5344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ZASADA NIEDYSKRYMINACJI. Link do nagrania: </w:t>
      </w:r>
      <w:hyperlink r:id="rId12">
        <w:r>
          <w:rPr>
            <w:color w:val="1155CC"/>
            <w:sz w:val="24"/>
            <w:szCs w:val="24"/>
            <w:u w:val="single"/>
          </w:rPr>
          <w:t>https://youtu.be/ePPWyEvikFo</w:t>
        </w:r>
      </w:hyperlink>
      <w:r>
        <w:rPr>
          <w:sz w:val="24"/>
          <w:szCs w:val="24"/>
        </w:rPr>
        <w:t xml:space="preserve"> </w:t>
      </w:r>
    </w:p>
    <w:p w14:paraId="75565C87" w14:textId="77777777" w:rsidR="00DF5344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ZASADA RÓWNOŚCI SZANS KOBIET I MĘŻCZYZN / GENDER MAINSTREAMING. Link do nagrania: </w:t>
      </w:r>
      <w:hyperlink r:id="rId13">
        <w:r>
          <w:rPr>
            <w:color w:val="1155CC"/>
            <w:sz w:val="24"/>
            <w:szCs w:val="24"/>
            <w:u w:val="single"/>
          </w:rPr>
          <w:t>https://youtu.be/gcU8jsQvtSk</w:t>
        </w:r>
      </w:hyperlink>
      <w:r>
        <w:rPr>
          <w:sz w:val="24"/>
          <w:szCs w:val="24"/>
        </w:rPr>
        <w:t xml:space="preserve"> </w:t>
      </w:r>
    </w:p>
    <w:p w14:paraId="0D289BA3" w14:textId="77777777" w:rsidR="00DF5344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ZASADA ZRÓWNOWAŻONEGO ROZWOJU. Link do nagrania: </w:t>
      </w:r>
      <w:hyperlink r:id="rId14">
        <w:r>
          <w:rPr>
            <w:color w:val="1155CC"/>
            <w:sz w:val="24"/>
            <w:szCs w:val="24"/>
            <w:u w:val="single"/>
          </w:rPr>
          <w:t>https://youtu.be/SdccNiHCzWA</w:t>
        </w:r>
      </w:hyperlink>
      <w:r>
        <w:rPr>
          <w:sz w:val="24"/>
          <w:szCs w:val="24"/>
        </w:rPr>
        <w:t xml:space="preserve">  </w:t>
      </w:r>
    </w:p>
    <w:p w14:paraId="69E7619A" w14:textId="77777777" w:rsidR="00DF5344" w:rsidRDefault="00DF5344">
      <w:pPr>
        <w:spacing w:after="0" w:line="240" w:lineRule="auto"/>
        <w:jc w:val="both"/>
        <w:rPr>
          <w:sz w:val="24"/>
          <w:szCs w:val="24"/>
        </w:rPr>
      </w:pPr>
    </w:p>
    <w:p w14:paraId="6C984349" w14:textId="77777777" w:rsidR="00DF5344" w:rsidRDefault="00000000" w:rsidP="007A47B2">
      <w:pPr>
        <w:rPr>
          <w:sz w:val="24"/>
          <w:szCs w:val="24"/>
        </w:rPr>
      </w:pPr>
      <w:r>
        <w:rPr>
          <w:sz w:val="24"/>
          <w:szCs w:val="24"/>
        </w:rPr>
        <w:t xml:space="preserve">Więcej informacji: </w:t>
      </w:r>
      <w:hyperlink r:id="rId15">
        <w:r>
          <w:rPr>
            <w:color w:val="1155CC"/>
            <w:sz w:val="24"/>
            <w:szCs w:val="24"/>
            <w:u w:val="single"/>
          </w:rPr>
          <w:t>www.ofop.eu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W sprawach komitetów monitorujących prosimy o kontakt: </w:t>
      </w:r>
      <w:hyperlink r:id="rId16">
        <w:r>
          <w:rPr>
            <w:color w:val="1155CC"/>
            <w:sz w:val="24"/>
            <w:szCs w:val="24"/>
            <w:u w:val="single"/>
          </w:rPr>
          <w:t>komitetymonitorujace@ofop.eu</w:t>
        </w:r>
      </w:hyperlink>
      <w:r>
        <w:rPr>
          <w:sz w:val="24"/>
          <w:szCs w:val="24"/>
        </w:rPr>
        <w:t xml:space="preserve"> </w:t>
      </w:r>
    </w:p>
    <w:p w14:paraId="285A2867" w14:textId="77777777" w:rsidR="00DF5344" w:rsidRDefault="00DF5344">
      <w:pPr>
        <w:jc w:val="both"/>
        <w:rPr>
          <w:b/>
          <w:sz w:val="24"/>
          <w:szCs w:val="24"/>
        </w:rPr>
      </w:pPr>
    </w:p>
    <w:p w14:paraId="25CCCC04" w14:textId="77777777" w:rsidR="00DF5344" w:rsidRDefault="00000000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Oprac. Iwona Janicka, Ogólnopolska Federacja Organizacji Pozarządowych</w:t>
      </w:r>
    </w:p>
    <w:p w14:paraId="3CBB6BB4" w14:textId="77777777" w:rsidR="00DF5344" w:rsidRDefault="00DF5344">
      <w:pPr>
        <w:jc w:val="both"/>
        <w:rPr>
          <w:sz w:val="24"/>
          <w:szCs w:val="24"/>
        </w:rPr>
      </w:pPr>
    </w:p>
    <w:p w14:paraId="7D1F9F58" w14:textId="77777777" w:rsidR="00DF5344" w:rsidRDefault="00DF5344">
      <w:pPr>
        <w:jc w:val="both"/>
        <w:rPr>
          <w:sz w:val="24"/>
          <w:szCs w:val="24"/>
        </w:rPr>
      </w:pPr>
    </w:p>
    <w:p w14:paraId="4130F3B2" w14:textId="77777777" w:rsidR="00DF5344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Partnerstwo dla lepszej perspektywy! </w:t>
      </w:r>
    </w:p>
    <w:p w14:paraId="0E01CFE7" w14:textId="77777777" w:rsidR="00DF5344" w:rsidRDefault="00000000">
      <w:pPr>
        <w:jc w:val="both"/>
        <w:rPr>
          <w:i/>
        </w:rPr>
      </w:pPr>
      <w:r>
        <w:rPr>
          <w:i/>
        </w:rPr>
        <w:t xml:space="preserve">Ogólnopolska Federacja Organizacji Pozarządowych realizuje działania </w:t>
      </w:r>
      <w:proofErr w:type="spellStart"/>
      <w:r>
        <w:rPr>
          <w:i/>
        </w:rPr>
        <w:t>rzecznicze</w:t>
      </w:r>
      <w:proofErr w:type="spellEnd"/>
      <w:r>
        <w:rPr>
          <w:i/>
        </w:rPr>
        <w:t xml:space="preserve"> i sieciujące na mocy porozumienia ze Stowarzyszeniem KLON/JAWOR i przy wsparciu Polsko-Amerykańskiej Fundacji Wolności. Korzystamy ze wsparcia CIVITATES i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Climate</w:t>
      </w:r>
      <w:proofErr w:type="spellEnd"/>
      <w:r>
        <w:rPr>
          <w:i/>
        </w:rPr>
        <w:t xml:space="preserve"> Foundation.</w:t>
      </w:r>
    </w:p>
    <w:p w14:paraId="76919B65" w14:textId="77777777" w:rsidR="00DF5344" w:rsidRDefault="00DF5344">
      <w:pPr>
        <w:jc w:val="both"/>
        <w:rPr>
          <w:sz w:val="24"/>
          <w:szCs w:val="24"/>
        </w:rPr>
      </w:pPr>
    </w:p>
    <w:p w14:paraId="4B0360A9" w14:textId="77777777" w:rsidR="00DF5344" w:rsidRDefault="00000000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14:paraId="5BA00DAF" w14:textId="77777777" w:rsidR="00DF5344" w:rsidRDefault="00000000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[KONIEC INFORMACJI]</w:t>
      </w:r>
    </w:p>
    <w:p w14:paraId="2639C7B2" w14:textId="77777777" w:rsidR="00DF5344" w:rsidRDefault="00DF5344">
      <w:pPr>
        <w:jc w:val="both"/>
        <w:rPr>
          <w:sz w:val="24"/>
          <w:szCs w:val="24"/>
        </w:rPr>
      </w:pPr>
    </w:p>
    <w:p w14:paraId="11AEB855" w14:textId="77777777" w:rsidR="00DF5344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2CCB3EC2" wp14:editId="0C336A27">
            <wp:extent cx="5760410" cy="32512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E23EFC" w14:textId="77777777" w:rsidR="00DF5344" w:rsidRDefault="00DF5344">
      <w:pPr>
        <w:jc w:val="both"/>
        <w:rPr>
          <w:sz w:val="24"/>
          <w:szCs w:val="24"/>
          <w:highlight w:val="yellow"/>
        </w:rPr>
      </w:pPr>
    </w:p>
    <w:p w14:paraId="60974CE5" w14:textId="77777777" w:rsidR="00DF5344" w:rsidRDefault="00000000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 wp14:anchorId="2B7C0D32" wp14:editId="51130563">
            <wp:extent cx="5760410" cy="325120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6DD711" w14:textId="77777777" w:rsidR="00DF5344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Partnerstwo dla lepszej perspektywy! </w:t>
      </w:r>
    </w:p>
    <w:p w14:paraId="3BE073E7" w14:textId="77777777" w:rsidR="00DF5344" w:rsidRDefault="00000000">
      <w:pPr>
        <w:jc w:val="both"/>
      </w:pPr>
      <w:r>
        <w:rPr>
          <w:i/>
        </w:rPr>
        <w:t xml:space="preserve">Ogólnopolska Federacja Organizacji Pozarządowych realizuje działania </w:t>
      </w:r>
      <w:proofErr w:type="spellStart"/>
      <w:r>
        <w:rPr>
          <w:i/>
        </w:rPr>
        <w:t>rzecznicze</w:t>
      </w:r>
      <w:proofErr w:type="spellEnd"/>
      <w:r>
        <w:rPr>
          <w:i/>
        </w:rPr>
        <w:t xml:space="preserve"> i sieciujące na mocy porozumienia ze Stowarzyszeniem KLON/JAWOR i przy wsparciu Polsko-Amerykańskiej Fundacji Wolności. Korzystamy ze wsparcia CIVITATES i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Climate</w:t>
      </w:r>
      <w:proofErr w:type="spellEnd"/>
      <w:r>
        <w:rPr>
          <w:i/>
        </w:rPr>
        <w:t xml:space="preserve"> Foundation.</w:t>
      </w:r>
    </w:p>
    <w:sectPr w:rsidR="00DF5344">
      <w:headerReference w:type="default" r:id="rId19"/>
      <w:footerReference w:type="default" r:id="rId20"/>
      <w:pgSz w:w="11906" w:h="16838"/>
      <w:pgMar w:top="2269" w:right="1417" w:bottom="1417" w:left="1417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0735" w14:textId="77777777" w:rsidR="00D907D1" w:rsidRDefault="00D907D1">
      <w:pPr>
        <w:spacing w:after="0" w:line="240" w:lineRule="auto"/>
      </w:pPr>
      <w:r>
        <w:separator/>
      </w:r>
    </w:p>
  </w:endnote>
  <w:endnote w:type="continuationSeparator" w:id="0">
    <w:p w14:paraId="17D97BFB" w14:textId="77777777" w:rsidR="00D907D1" w:rsidRDefault="00D9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9F40" w14:textId="77777777" w:rsidR="00DF534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  <w:bookmarkStart w:id="1" w:name="_heading=h.30j0zll" w:colFirst="0" w:colLast="0"/>
    <w:bookmarkEnd w:id="1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ED4269F" wp14:editId="4BDA7335">
              <wp:simplePos x="0" y="0"/>
              <wp:positionH relativeFrom="column">
                <wp:posOffset>1</wp:posOffset>
              </wp:positionH>
              <wp:positionV relativeFrom="paragraph">
                <wp:posOffset>-165099</wp:posOffset>
              </wp:positionV>
              <wp:extent cx="6494145" cy="127000"/>
              <wp:effectExtent l="0" t="0" r="0" b="0"/>
              <wp:wrapSquare wrapText="bothSides" distT="0" distB="0" distL="114300" distR="114300"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08453" y="3726025"/>
                        <a:ext cx="6475095" cy="107950"/>
                      </a:xfrm>
                      <a:prstGeom prst="rect">
                        <a:avLst/>
                      </a:prstGeom>
                      <a:solidFill>
                        <a:srgbClr val="D76F33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8CDEE6" w14:textId="77777777" w:rsidR="00DF5344" w:rsidRDefault="00DF534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D4269F" id="Prostokąt 7" o:spid="_x0000_s1027" style="position:absolute;margin-left:0;margin-top:-13pt;width:511.3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" fillcolor="#d76f33" stroked="f">
              <v:textbox inset="2.53958mm,2.53958mm,2.53958mm,2.53958mm">
                <w:txbxContent>
                  <w:p w14:paraId="288CDEE6" w14:textId="77777777" w:rsidR="00DF5344" w:rsidRDefault="00DF534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2E911B97" w14:textId="77777777" w:rsidR="00DF5344" w:rsidRDefault="00DF534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  <w:p w14:paraId="0FDC3253" w14:textId="77777777" w:rsidR="00DF5344" w:rsidRDefault="00DF53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6046" w14:textId="77777777" w:rsidR="00D907D1" w:rsidRDefault="00D907D1">
      <w:pPr>
        <w:spacing w:after="0" w:line="240" w:lineRule="auto"/>
      </w:pPr>
      <w:r>
        <w:separator/>
      </w:r>
    </w:p>
  </w:footnote>
  <w:footnote w:type="continuationSeparator" w:id="0">
    <w:p w14:paraId="494DEBA5" w14:textId="77777777" w:rsidR="00D907D1" w:rsidRDefault="00D90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23F0" w14:textId="77777777" w:rsidR="00DF53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E32F940" wp14:editId="5490CA37">
              <wp:simplePos x="0" y="0"/>
              <wp:positionH relativeFrom="column">
                <wp:posOffset>2984500</wp:posOffset>
              </wp:positionH>
              <wp:positionV relativeFrom="paragraph">
                <wp:posOffset>571500</wp:posOffset>
              </wp:positionV>
              <wp:extent cx="2774950" cy="127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8050" y="3726025"/>
                        <a:ext cx="2755900" cy="107950"/>
                      </a:xfrm>
                      <a:prstGeom prst="rect">
                        <a:avLst/>
                      </a:prstGeom>
                      <a:solidFill>
                        <a:srgbClr val="D76F33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82A31B" w14:textId="77777777" w:rsidR="00DF5344" w:rsidRDefault="00DF534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32F940" id="Prostokąt 8" o:spid="_x0000_s1026" style="position:absolute;margin-left:235pt;margin-top:45pt;width:218.5pt;height:1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" fillcolor="#d76f33" stroked="f">
              <v:textbox inset="2.53958mm,2.53958mm,2.53958mm,2.53958mm">
                <w:txbxContent>
                  <w:p w14:paraId="1682A31B" w14:textId="77777777" w:rsidR="00DF5344" w:rsidRDefault="00DF534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1AA8223" wp14:editId="154F509C">
          <wp:simplePos x="0" y="0"/>
          <wp:positionH relativeFrom="column">
            <wp:posOffset>3</wp:posOffset>
          </wp:positionH>
          <wp:positionV relativeFrom="paragraph">
            <wp:posOffset>81915</wp:posOffset>
          </wp:positionV>
          <wp:extent cx="1438275" cy="718820"/>
          <wp:effectExtent l="0" t="0" r="0" b="0"/>
          <wp:wrapSquare wrapText="bothSides" distT="0" distB="0" distL="114300" distR="11430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275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64F6"/>
    <w:multiLevelType w:val="multilevel"/>
    <w:tmpl w:val="F89E61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706D9F"/>
    <w:multiLevelType w:val="multilevel"/>
    <w:tmpl w:val="7BEA4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9E300D"/>
    <w:multiLevelType w:val="multilevel"/>
    <w:tmpl w:val="53EE45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C16855"/>
    <w:multiLevelType w:val="multilevel"/>
    <w:tmpl w:val="8662F0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990288"/>
    <w:multiLevelType w:val="multilevel"/>
    <w:tmpl w:val="7264D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50228743">
    <w:abstractNumId w:val="1"/>
  </w:num>
  <w:num w:numId="2" w16cid:durableId="1273590914">
    <w:abstractNumId w:val="2"/>
  </w:num>
  <w:num w:numId="3" w16cid:durableId="720246124">
    <w:abstractNumId w:val="0"/>
  </w:num>
  <w:num w:numId="4" w16cid:durableId="49158344">
    <w:abstractNumId w:val="4"/>
  </w:num>
  <w:num w:numId="5" w16cid:durableId="25987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44"/>
    <w:rsid w:val="007A47B2"/>
    <w:rsid w:val="008B34EA"/>
    <w:rsid w:val="00A43C1E"/>
    <w:rsid w:val="00D907D1"/>
    <w:rsid w:val="00DF5344"/>
    <w:rsid w:val="00E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2FBA"/>
  <w15:docId w15:val="{D6A22CA9-FBF3-4769-B4C9-152CB6D8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63BA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3BA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B3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0B3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31F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A31F5D"/>
    <w:rPr>
      <w:color w:val="000000"/>
      <w:sz w:val="22"/>
      <w:szCs w:val="22"/>
    </w:rPr>
  </w:style>
  <w:style w:type="paragraph" w:customStyle="1" w:styleId="Pa0">
    <w:name w:val="Pa0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A31F5D"/>
    <w:rPr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A3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F5D"/>
  </w:style>
  <w:style w:type="paragraph" w:styleId="Stopka">
    <w:name w:val="footer"/>
    <w:basedOn w:val="Normalny"/>
    <w:link w:val="StopkaZnak"/>
    <w:uiPriority w:val="99"/>
    <w:unhideWhenUsed/>
    <w:rsid w:val="00A3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F5D"/>
  </w:style>
  <w:style w:type="paragraph" w:customStyle="1" w:styleId="Pa5">
    <w:name w:val="Pa5"/>
    <w:basedOn w:val="Default"/>
    <w:next w:val="Default"/>
    <w:uiPriority w:val="99"/>
    <w:rsid w:val="000128E9"/>
    <w:pPr>
      <w:spacing w:line="241" w:lineRule="atLeast"/>
    </w:pPr>
    <w:rPr>
      <w:color w:val="auto"/>
    </w:rPr>
  </w:style>
  <w:style w:type="table" w:styleId="Tabela-Siatka">
    <w:name w:val="Table Grid"/>
    <w:basedOn w:val="Standardowy"/>
    <w:uiPriority w:val="39"/>
    <w:rsid w:val="001B3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E63BA"/>
    <w:rPr>
      <w:rFonts w:ascii="Arial" w:eastAsia="Arial" w:hAnsi="Arial" w:cs="Arial"/>
      <w:sz w:val="40"/>
      <w:szCs w:val="40"/>
      <w:lang w:val="pl"/>
    </w:rPr>
  </w:style>
  <w:style w:type="character" w:customStyle="1" w:styleId="Nagwek2Znak">
    <w:name w:val="Nagłówek 2 Znak"/>
    <w:link w:val="Nagwek2"/>
    <w:rsid w:val="00FE63BA"/>
    <w:rPr>
      <w:rFonts w:ascii="Arial" w:eastAsia="Arial" w:hAnsi="Arial" w:cs="Arial"/>
      <w:sz w:val="32"/>
      <w:szCs w:val="32"/>
      <w:lang w:val="pl"/>
    </w:rPr>
  </w:style>
  <w:style w:type="paragraph" w:styleId="NormalnyWeb">
    <w:name w:val="Normal (Web)"/>
    <w:basedOn w:val="Normalny"/>
    <w:uiPriority w:val="99"/>
    <w:semiHidden/>
    <w:unhideWhenUsed/>
    <w:rsid w:val="00B74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B74806"/>
    <w:rPr>
      <w:color w:val="0000FF"/>
      <w:u w:val="single"/>
    </w:rPr>
  </w:style>
  <w:style w:type="character" w:customStyle="1" w:styleId="apple-tab-span">
    <w:name w:val="apple-tab-span"/>
    <w:rsid w:val="00B74806"/>
  </w:style>
  <w:style w:type="character" w:customStyle="1" w:styleId="Nagwek3Znak">
    <w:name w:val="Nagłówek 3 Znak"/>
    <w:link w:val="Nagwek3"/>
    <w:uiPriority w:val="9"/>
    <w:rsid w:val="001F0B3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1F0B3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B96A5F"/>
    <w:pPr>
      <w:spacing w:after="0" w:line="276" w:lineRule="auto"/>
      <w:ind w:left="720"/>
      <w:contextualSpacing/>
    </w:pPr>
    <w:rPr>
      <w:rFonts w:ascii="Arial" w:eastAsia="Arial" w:hAnsi="Arial" w:cs="Arial"/>
      <w:lang w:val="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5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55B0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5B0"/>
    <w:rPr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00B"/>
    <w:rPr>
      <w:rFonts w:ascii="Segoe UI" w:hAnsi="Segoe UI" w:cs="Segoe UI"/>
      <w:sz w:val="18"/>
      <w:szCs w:val="18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PB1PkH" TargetMode="External"/><Relationship Id="rId13" Type="http://schemas.openxmlformats.org/officeDocument/2006/relationships/hyperlink" Target="https://youtu.be/gcU8jsQvtSk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ePPWyEvikFo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mailto:komitetymonitorujace@ofop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ACYmNZdXG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fop.eu" TargetMode="External"/><Relationship Id="rId10" Type="http://schemas.openxmlformats.org/officeDocument/2006/relationships/hyperlink" Target="https://youtu.be/hilQO1F4PLw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1zSoxWifGws" TargetMode="External"/><Relationship Id="rId14" Type="http://schemas.openxmlformats.org/officeDocument/2006/relationships/hyperlink" Target="https://youtu.be/SdccNiHCzWA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jylTf4W0Nen8kJ3F2/FheXesXQ==">AMUW2mWqN3HsyXBXXS67SK+kGK3hDalgYxAapGI3pbQlgR/YxQBcyE+/bsvotftCONOVZok/VBx2WWbE+XTPPr9Fbky4kK3fnicAXp7AWFEAB7l9Z5iBC9SKQtcMUGY1dpO6+Or8WOm7bB3eAseASQwJAUi9DtcEJsxy0uo8V3y0zpbAdWuj9Gm2v6H8QQX8ecRzzq35MRZPhBWbgtU0j6jop8YGnjFEzdUgT60PY0cBZYD/9BKieDM=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1583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OFOP</dc:creator>
  <cp:lastModifiedBy>Paweł</cp:lastModifiedBy>
  <cp:revision>4</cp:revision>
  <cp:lastPrinted>2022-10-21T09:59:00Z</cp:lastPrinted>
  <dcterms:created xsi:type="dcterms:W3CDTF">2021-03-31T10:33:00Z</dcterms:created>
  <dcterms:modified xsi:type="dcterms:W3CDTF">2022-10-21T10:16:00Z</dcterms:modified>
</cp:coreProperties>
</file>